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left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Чем отличается взятка от подарка?</w:t>
      </w:r>
      <w:bookmarkEnd w:id="1"/>
    </w:p>
    <w:p w14:paraId="03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Вопрос о различии между взяткой и подарком имеет важное значение в юридической сфере, так как он затрагивает вопросы законодательства, этики и социальной ответственности. Понимание этой разницы позволяет более чётко разграничивать законные и незаконные действия, а также предотвращать коррупцию.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По нормам Уголовного кодекса, под взяткой понимается получение должностным лицом любых государственных или муниципальных органов (взяткополучатель) вознаграждения в виде денежных средств, ценностей, материальных благ или же оказания услуг, за совершение оговорённых действий или же отказ от их совершения (бездействие) в пользу лица, предоставляющего это вознаграждение (взяткодатель).</w:t>
      </w:r>
    </w:p>
    <w:p w14:paraId="05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Основное отличие подарка от взятки заключается в безвозмездности последнего. При дарении подарок передается без каких-либо требований с стороны дарителя. В то время как взятка подразумевает получение определенного действия (или бездействия) со стороны получателя в интересах дающего или его представителей.</w:t>
      </w:r>
    </w:p>
    <w:p w14:paraId="06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Лица, занимающие государственные или муниципальные должности и выполняющие свои полномочия на постоянной основе, не имеют права принимать вознаграждения или подарки, не предусмотренные законодательством Российской Федерации, в связи с исполнением служебных обязанностей. Это включает ссуды, денежные и иные вознаграждения, услуги, а также оплату развлечений, отдыхов и транспортных расходов от физических и юридических лиц (ст. 12.1 Федерального закона от 25.12.2008 № 273-ФЗ «О противодействии коррупции»).</w:t>
      </w:r>
    </w:p>
    <w:p w14:paraId="07000000">
      <w:pPr>
        <w:ind/>
        <w:jc w:val="both"/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2025-10-22T13:18:38Z</dcterms:modified>
</cp:coreProperties>
</file>