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rPr>
      </w:pPr>
      <w:bookmarkStart w:id="1" w:name="_GoBack"/>
      <w:bookmarkEnd w:id="1"/>
      <w:r>
        <w:rPr>
          <w:rFonts w:ascii="Times New Roman" w:hAnsi="Times New Roman"/>
        </w:rPr>
        <w:t>Прокур</w:t>
      </w:r>
      <w:r>
        <w:rPr>
          <w:rFonts w:ascii="Times New Roman" w:hAnsi="Times New Roman"/>
        </w:rPr>
        <w:t>атура</w:t>
      </w:r>
      <w:r>
        <w:rPr>
          <w:rFonts w:ascii="Times New Roman" w:hAnsi="Times New Roman"/>
        </w:rPr>
        <w:t xml:space="preserve"> Татышлинского</w:t>
      </w:r>
      <w:r>
        <w:rPr>
          <w:rFonts w:ascii="Times New Roman" w:hAnsi="Times New Roman"/>
        </w:rPr>
        <w:t xml:space="preserve"> района разъясняет:</w:t>
      </w:r>
    </w:p>
    <w:p w14:paraId="02000000">
      <w:pPr>
        <w:numPr>
          <w:ilvl w:val="0"/>
          <w:numId w:val="0"/>
        </w:numPr>
        <w:ind/>
        <w:jc w:val="both"/>
        <w:rPr>
          <w:rFonts w:ascii="Times New Roman" w:hAnsi="Times New Roman"/>
          <w:b w:val="1"/>
          <w:i w:val="0"/>
        </w:rPr>
      </w:pPr>
      <w:r>
        <w:rPr>
          <w:rFonts w:ascii="Times New Roman" w:hAnsi="Times New Roman"/>
          <w:b w:val="1"/>
          <w:i w:val="0"/>
        </w:rPr>
        <w:t>Новые гарантии для защиты от навязывания дополнительных товаров (работ, услуг)</w:t>
      </w:r>
    </w:p>
    <w:p w14:paraId="03000000">
      <w:pPr>
        <w:numPr>
          <w:ilvl w:val="0"/>
          <w:numId w:val="0"/>
        </w:numPr>
        <w:ind/>
        <w:jc w:val="both"/>
        <w:rPr>
          <w:rFonts w:ascii="Times New Roman" w:hAnsi="Times New Roman"/>
          <w:b w:val="0"/>
          <w:i w:val="0"/>
          <w:u w:val="none"/>
        </w:rPr>
      </w:pPr>
      <w:r>
        <w:rPr>
          <w:rFonts w:ascii="Times New Roman" w:hAnsi="Times New Roman"/>
          <w:b w:val="0"/>
          <w:i w:val="0"/>
          <w:u w:val="none"/>
        </w:rPr>
        <w:t>С 1 сентября 2025 года начинает действовать Федеральный закон от 07.04.2025 № 69-ФЗ «О внесении изменений в статью 16 Закона Российской Федерации «О защите прав потребителей». Этот закон вводит новые правила продажи дополнительных товаров (выполнение дополнительных работ, оказание дополнительных услуг) за отдельную плату продавцом (исполнителем, владельцем агрегатора).</w:t>
      </w:r>
    </w:p>
    <w:p w14:paraId="04000000">
      <w:pPr>
        <w:numPr>
          <w:ilvl w:val="0"/>
          <w:numId w:val="0"/>
        </w:numPr>
        <w:ind/>
        <w:jc w:val="both"/>
        <w:rPr>
          <w:rFonts w:ascii="Times New Roman" w:hAnsi="Times New Roman"/>
          <w:b w:val="0"/>
          <w:i w:val="0"/>
          <w:u w:val="none"/>
        </w:rPr>
      </w:pPr>
      <w:r>
        <w:rPr>
          <w:rFonts w:ascii="Times New Roman" w:hAnsi="Times New Roman"/>
          <w:b w:val="0"/>
          <w:i w:val="0"/>
          <w:u w:val="none"/>
        </w:rPr>
        <w:t>Продажа дополнительных товаров возможна только с письменного согласия потребителя.</w:t>
      </w:r>
    </w:p>
    <w:p w14:paraId="05000000">
      <w:pPr>
        <w:numPr>
          <w:ilvl w:val="0"/>
          <w:numId w:val="0"/>
        </w:numPr>
        <w:ind/>
        <w:jc w:val="both"/>
        <w:rPr>
          <w:rFonts w:ascii="Times New Roman" w:hAnsi="Times New Roman"/>
          <w:b w:val="0"/>
          <w:i w:val="0"/>
          <w:u w:val="none"/>
        </w:rPr>
      </w:pPr>
      <w:r>
        <w:rPr>
          <w:rFonts w:ascii="Times New Roman" w:hAnsi="Times New Roman"/>
          <w:b w:val="0"/>
          <w:i w:val="0"/>
          <w:u w:val="none"/>
        </w:rPr>
        <w:t>Запрещается навязывать потребителю дополнительные товары (работы, услуги) за дополнительную плату до подписания основного договора.</w:t>
      </w:r>
    </w:p>
    <w:p w14:paraId="06000000">
      <w:pPr>
        <w:numPr>
          <w:ilvl w:val="0"/>
          <w:numId w:val="0"/>
        </w:numPr>
        <w:ind/>
        <w:jc w:val="both"/>
        <w:rPr>
          <w:rFonts w:ascii="Times New Roman" w:hAnsi="Times New Roman"/>
          <w:b w:val="0"/>
          <w:i w:val="0"/>
          <w:u w:val="none"/>
        </w:rPr>
      </w:pPr>
      <w:r>
        <w:rPr>
          <w:rFonts w:ascii="Times New Roman" w:hAnsi="Times New Roman"/>
          <w:b w:val="0"/>
          <w:i w:val="0"/>
          <w:u w:val="none"/>
        </w:rPr>
        <w:t>Продавец (исполнитель, владелец агрегатора) не имеет права автоматически ставить отметки о согласии потребителя на приобретение дополнительных товаров или выражать согласие от его имени.</w:t>
      </w:r>
    </w:p>
    <w:p w14:paraId="07000000">
      <w:pPr>
        <w:numPr>
          <w:ilvl w:val="0"/>
          <w:numId w:val="0"/>
        </w:numPr>
        <w:ind/>
        <w:jc w:val="both"/>
        <w:rPr>
          <w:rFonts w:ascii="Times New Roman" w:hAnsi="Times New Roman"/>
          <w:b w:val="0"/>
          <w:i w:val="0"/>
          <w:u w:val="none"/>
        </w:rPr>
      </w:pPr>
      <w:r>
        <w:rPr>
          <w:rFonts w:ascii="Times New Roman" w:hAnsi="Times New Roman"/>
          <w:b w:val="0"/>
          <w:i w:val="0"/>
          <w:u w:val="none"/>
        </w:rPr>
        <w:t>Также запрещается устанавливать условия, подразумевающие изначальное согласие потребителя на покупку дополнительных товаров.</w:t>
      </w:r>
    </w:p>
    <w:p w14:paraId="08000000">
      <w:pPr>
        <w:numPr>
          <w:ilvl w:val="0"/>
          <w:numId w:val="0"/>
        </w:numPr>
        <w:ind/>
        <w:jc w:val="both"/>
        <w:rPr>
          <w:rFonts w:ascii="Times New Roman" w:hAnsi="Times New Roman"/>
          <w:b w:val="0"/>
          <w:i w:val="0"/>
          <w:u w:val="none"/>
        </w:rPr>
      </w:pPr>
      <w:r>
        <w:rPr>
          <w:rFonts w:ascii="Times New Roman" w:hAnsi="Times New Roman"/>
          <w:b w:val="0"/>
          <w:i w:val="0"/>
          <w:u w:val="none"/>
        </w:rPr>
        <w:t>Потребитель вправе отказаться от оплаты ненужных дополнительных товаров (работ, услуг). Если потребитель уже оплатил такие товары, он может требовать от продавца возврат уплаченной суммы за товары (работы, услуги), предоставленные без его согласия.</w:t>
      </w:r>
    </w:p>
    <w:p w14:paraId="09000000">
      <w:pPr>
        <w:ind/>
        <w:jc w:val="both"/>
      </w:pPr>
    </w:p>
    <w:sectPr>
      <w:pgSz w:h="16838" w:orient="portrait" w:w="11906"/>
      <w:pgMar w:bottom="1440" w:footer="720" w:gutter="0" w:header="720" w:left="1800" w:right="180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after="200" w:line="276" w:lineRule="auto"/>
      <w:ind/>
    </w:pPr>
    <w:rPr>
      <w:rFonts w:asciiTheme="minorAscii" w:hAnsiTheme="minorHAnsi"/>
      <w:sz w:val="22"/>
    </w:rPr>
  </w:style>
  <w:style w:default="1" w:styleId="Style_1_ch" w:type="character">
    <w:name w:val="Normal"/>
    <w:link w:val="Style_1"/>
    <w:rPr>
      <w:rFonts w:asciiTheme="minorAscii" w:hAnsiTheme="minorHAnsi"/>
      <w:sz w:val="22"/>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2025-10-22T13:18:46Z</dcterms:modified>
</cp:coreProperties>
</file>