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0"/>
        <w:ind w:firstLine="567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Федеральным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законом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>от 29.12.2025 N 542-ФЗ</w:t>
      </w:r>
      <w:r>
        <w:rPr>
          <w:rFonts w:ascii="Times New Roman" w:hAnsi="Times New Roman"/>
          <w:b w:val="0"/>
          <w:color w:val="000000"/>
          <w:sz w:val="28"/>
        </w:rPr>
        <w:br/>
      </w:r>
      <w:r>
        <w:rPr>
          <w:rFonts w:ascii="Times New Roman" w:hAnsi="Times New Roman"/>
          <w:b w:val="0"/>
          <w:color w:val="000000"/>
          <w:sz w:val="28"/>
        </w:rPr>
        <w:t>"О внесении изменений в статью 6 Федерального закона "О связи"</w:t>
      </w:r>
      <w:r>
        <w:rPr>
          <w:rFonts w:ascii="Times New Roman" w:hAnsi="Times New Roman"/>
          <w:b w:val="0"/>
          <w:color w:val="000000"/>
          <w:sz w:val="28"/>
        </w:rPr>
        <w:t xml:space="preserve"> определен порядок взаимодействия организаций связи и органов государственной власти РФ, органов государственной власти субъектов РФ и органов власти местного самоуправления при размещении сетей связи на объектах </w:t>
      </w:r>
      <w:r>
        <w:rPr>
          <w:rFonts w:ascii="Times New Roman" w:hAnsi="Times New Roman"/>
          <w:b w:val="0"/>
          <w:color w:val="000000"/>
          <w:sz w:val="28"/>
        </w:rPr>
        <w:t xml:space="preserve">федеральной, </w:t>
      </w:r>
      <w:r>
        <w:rPr>
          <w:rFonts w:ascii="Times New Roman" w:hAnsi="Times New Roman"/>
          <w:b w:val="0"/>
          <w:color w:val="000000"/>
          <w:sz w:val="28"/>
        </w:rPr>
        <w:t xml:space="preserve">региональной и муниципальной собственности. </w:t>
      </w:r>
    </w:p>
    <w:p w14:paraId="02000000">
      <w:pPr>
        <w:spacing w:after="0" w:before="0"/>
        <w:ind w:firstLine="567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Установлено, что требования к условиям договора о пользовании имуществом, находящимся в государственной или муниципальной собственности, включающие в себя порядок взаимодействия организации связи с собственником или иным владельцем имущества, находящегося в государственной или муниципальной собственности, условия определения сроков пользования таким имуществом, условия определения соразмерной платы за пользование, регламентируются Правительством РФ.</w:t>
      </w:r>
    </w:p>
    <w:p w14:paraId="03000000">
      <w:pPr>
        <w:spacing w:after="0" w:before="168"/>
        <w:ind w:firstLine="567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Если иное не установлено федеральными законами, Правительством РФ в отношении имущества, находящегося в федеральной собственности, высшим исполнительным органом государственной власти субъекта РФ в отношении имущества, находящегося в собственности субъекта РФ, органом местного самоуправления в отношении имущества, находящегося в муниципальной собственности, устанавливается порядок определения размера платы за пользование соответствующим имуществом.</w:t>
      </w:r>
    </w:p>
    <w:p w14:paraId="04000000">
      <w:pPr>
        <w:spacing w:after="0" w:before="168"/>
        <w:ind w:firstLine="567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Отказ от заключения договора о пользовании имуществом, находящимся в государственной или муниципальной собственности, допускается в целях обеспечения обороны страны, безопасности государства и правопорядка, а также в случае, если в результате осуществления строительства и (или) эксплуатации средств связи и сооружений связи имущество, находящееся в государственной или муниципальной собственности, будет невозможно использовать в соответствии с его назначением либо будут нарушены требования законодательства РФ.</w:t>
      </w:r>
    </w:p>
    <w:p w14:paraId="05000000">
      <w:pPr>
        <w:spacing w:after="0" w:before="168"/>
        <w:ind w:firstLine="567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Настоящий Федеральный закон вступает в силу с 1 сентября 2026 года.</w:t>
      </w:r>
    </w:p>
    <w:p w14:paraId="06000000">
      <w:pPr>
        <w:spacing w:after="0" w:before="168"/>
        <w:ind w:firstLine="567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Действие положений пунктов 3 и 3.1 статьи 6 Федерального закона от 7 июля 2003 года N 126-ФЗ "О связи" (в редакции настоящего Федерального закона) и подпункта 2 статьи 39.40 Земельного кодекса РФ в части, касающейся организаций связи, распространяется на юридических лиц, осуществляющих деятельность по строительству и (или) эксплуатации сооружений связи для размещения сетей связи оператором связи.</w:t>
      </w:r>
    </w:p>
    <w:p w14:paraId="07000000">
      <w:pPr>
        <w:widowControl w:val="1"/>
        <w:spacing w:after="0" w:before="168"/>
        <w:ind w:firstLine="567" w:left="0" w:right="0"/>
        <w:jc w:val="both"/>
        <w:rPr>
          <w:rFonts w:ascii="Times New Roman" w:hAnsi="Times New Roman"/>
          <w:b w:val="0"/>
          <w:i w:val="0"/>
          <w:color w:val="000000"/>
          <w:sz w:val="28"/>
          <w:u w:val="none"/>
        </w:rPr>
      </w:pPr>
    </w:p>
    <w:p w14:paraId="08000000">
      <w:pPr>
        <w:widowControl w:val="1"/>
        <w:spacing w:after="0" w:before="0"/>
        <w:ind w:firstLine="567" w:left="0" w:right="0"/>
        <w:jc w:val="both"/>
        <w:rPr>
          <w:rFonts w:ascii="Times New Roman" w:hAnsi="Times New Roman"/>
          <w:b w:val="0"/>
          <w:i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Прокуратура Татышлинского района.</w:t>
      </w:r>
    </w:p>
    <w:p w14:paraId="09000000">
      <w:pPr>
        <w:widowControl w:val="1"/>
        <w:spacing w:after="0" w:before="0"/>
        <w:ind w:firstLine="567" w:left="0" w:right="0"/>
        <w:jc w:val="both"/>
        <w:rPr>
          <w:rFonts w:ascii="Times New Roman" w:hAnsi="Times New Roman"/>
          <w:b w:val="0"/>
          <w:i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br/>
      </w:r>
    </w:p>
    <w:p w14:paraId="0A000000">
      <w:pPr>
        <w:widowControl w:val="1"/>
        <w:ind w:firstLine="567" w:left="0"/>
        <w:rPr>
          <w:rFonts w:ascii="Times New Roman" w:hAnsi="Times New Roman"/>
          <w:b w:val="0"/>
          <w:i w:val="0"/>
          <w:color w:val="000000"/>
          <w:sz w:val="28"/>
          <w:u w:val="none"/>
        </w:rPr>
      </w:pPr>
    </w:p>
    <w:p w14:paraId="0B000000">
      <w:pPr>
        <w:widowControl w:val="1"/>
        <w:ind w:firstLine="567" w:left="0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</w:pPr>
    </w:p>
    <w:p w14:paraId="0C000000">
      <w:pPr>
        <w:widowControl w:val="1"/>
        <w:numPr>
          <w:ilvl w:val="0"/>
          <w:numId w:val="0"/>
        </w:numPr>
        <w:ind w:firstLine="567" w:left="0"/>
        <w:rPr>
          <w:rFonts w:ascii="Times New Roman" w:hAnsi="Times New Roman"/>
          <w:b w:val="0"/>
          <w:i w:val="0"/>
          <w:color w:val="000000"/>
          <w:sz w:val="28"/>
          <w:u w:val="none"/>
        </w:rPr>
      </w:pPr>
    </w:p>
    <w:p w14:paraId="0D000000">
      <w:pPr>
        <w:widowControl w:val="1"/>
        <w:numPr>
          <w:ilvl w:val="0"/>
          <w:numId w:val="0"/>
        </w:numPr>
        <w:ind w:firstLine="567" w:left="0"/>
        <w:rPr>
          <w:rFonts w:ascii="Times New Roman" w:hAnsi="Times New Roman"/>
          <w:b w:val="0"/>
          <w:i w:val="0"/>
          <w:color w:val="000000"/>
          <w:sz w:val="28"/>
          <w:u w:val="none"/>
        </w:rPr>
      </w:pPr>
    </w:p>
    <w:p w14:paraId="0E000000">
      <w:pPr>
        <w:widowControl w:val="1"/>
        <w:numPr>
          <w:ilvl w:val="0"/>
          <w:numId w:val="0"/>
        </w:numPr>
        <w:ind w:firstLine="567" w:left="0"/>
      </w:pPr>
    </w:p>
    <w:p w14:paraId="0F000000">
      <w:pPr>
        <w:widowControl w:val="1"/>
        <w:numPr>
          <w:ilvl w:val="0"/>
          <w:numId w:val="0"/>
        </w:numPr>
        <w:ind w:firstLine="567" w:left="0"/>
      </w:pPr>
    </w:p>
    <w:p w14:paraId="10000000">
      <w:pPr>
        <w:widowControl w:val="1"/>
        <w:numPr>
          <w:ilvl w:val="0"/>
          <w:numId w:val="0"/>
        </w:numPr>
        <w:ind w:firstLine="567" w:left="0"/>
      </w:pPr>
      <w:bookmarkStart w:id="1" w:name="_GoBack"/>
      <w:bookmarkEnd w:id="1"/>
    </w:p>
    <w:sectPr>
      <w:pgSz w:h="16838" w:orient="portrait" w:w="11906"/>
      <w:pgMar w:bottom="1440" w:footer="720" w:gutter="0" w:header="720" w:left="1800" w:right="180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Theme="minorAscii" w:hAnsiTheme="minorHAnsi"/>
    </w:rPr>
  </w:style>
  <w:style w:default="1" w:styleId="Style_1_ch" w:type="character">
    <w:name w:val="Normal"/>
    <w:link w:val="Style_1"/>
    <w:rPr>
      <w:rFonts w:asciiTheme="minorAscii" w:hAnsiTheme="minorHAnsi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heading 5"/>
    <w:next w:val="Style_1"/>
    <w:link w:val="Style_1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basedOn w:val="Style_9"/>
    <w:link w:val="Style_12_ch"/>
    <w:rPr>
      <w:color w:val="0000FF"/>
      <w:u w:val="single"/>
    </w:rPr>
  </w:style>
  <w:style w:styleId="Style_12_ch" w:type="character">
    <w:name w:val="Hyperlink"/>
    <w:basedOn w:val="Style_9_ch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2026-04-15T13:01:36Z</dcterms:modified>
</cp:coreProperties>
</file>