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Федеральным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 xml:space="preserve">законом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от 30.01.2026 N 12-ФЗ </w:t>
      </w:r>
      <w:r>
        <w:rPr>
          <w:rFonts w:ascii="Times New Roman" w:hAnsi="Times New Roman"/>
          <w:b w:val="0"/>
          <w:color w:val="000000"/>
          <w:sz w:val="28"/>
          <w:u w:val="none"/>
        </w:rPr>
        <w:t>"О внесении изменений в статьи 39.28 и 39.29 Земельного кодекса Российской Федерации и отдельные законодательные акты Российской Федерации"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у</w:t>
      </w:r>
      <w:r>
        <w:rPr>
          <w:rFonts w:ascii="Times New Roman" w:hAnsi="Times New Roman"/>
          <w:b w:val="0"/>
          <w:color w:val="000000"/>
          <w:sz w:val="28"/>
          <w:u w:val="none"/>
        </w:rPr>
        <w:t>прощен порядок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14:paraId="02000000">
      <w:pPr>
        <w:spacing w:after="120" w:before="120"/>
        <w:ind w:firstLine="447" w:left="120" w:right="120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 </w:t>
      </w:r>
      <w:r>
        <w:rPr>
          <w:rFonts w:ascii="Times New Roman" w:hAnsi="Times New Roman"/>
          <w:b w:val="0"/>
          <w:color w:val="000000"/>
          <w:sz w:val="28"/>
          <w:u w:val="none"/>
        </w:rPr>
        <w:t>Закрепляется новый случай перераспределения таких земель и (или) земельных участков, не указанных в подпункте 3 пункта 1 статьи 39.28 Земельного кодекса, а именно - в целях обеспечения соблюдения требований, предусмотренных статьей 11.9 Земельного кодекса. В этом случае перераспределение земель и (или) земельных участков осуществляется однократно.</w:t>
      </w:r>
    </w:p>
    <w:p w14:paraId="03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При перераспределении в соответствии со статьей 39.28 Земельного кодекса таких земель и (или) земельных участков допускается уменьшение площади земельных участков, находящихся в частной собственности, при условии соблюдения требований к образуемым земельным участкам.</w:t>
      </w:r>
    </w:p>
    <w:p w14:paraId="04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Расширен перечень оснований для принятия решения об отказе в заключении соглашения о перераспределении земельных участков.</w:t>
      </w:r>
    </w:p>
    <w:p w14:paraId="05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Предусмотрено, что расчет размера платы за увеличение площади земельных участков, находящихся в частной собственности, в результате перераспределения земельных участков и земель и (или) земельных участков, находящихся в государственной или муниципальной собственности, может осуществляться на основании кадастровой стоимости исходного или образуемого земельного участка пропорционально увеличению площади земельного участка, находящегося в частной собственности. Органы государственной власти и органы местного самоуправления вправе определить категории граждан, с которых такая плата не взимается при перераспределении земельных участков, находящихся в собственности этих граждан, и земель и (или) земельных участков, находящихся в государственной или муниципальной собственности, в случае, предусмотренном подпунктом 3 пункта 1 статьи 39.28 Земельного кодекса РФ.</w:t>
      </w:r>
    </w:p>
    <w:p w14:paraId="06000000">
      <w:pPr>
        <w:spacing w:after="0" w:before="168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Уточнено, что подготовка проекта межевания территории осуществляется для определения местоположения границ образуемых и изменяемых земельных участков, в том числе для исключения в отношении таких земельных участков вклинивания, вкрапливания,изломанности границ, чересполосицы, невозможности размещения объектов недвижимости и устранения других недостатков, препятствующих рациональному использованию и охране земель.</w:t>
      </w:r>
    </w:p>
    <w:p w14:paraId="07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8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Прокуратура Татышлинского района.</w:t>
      </w:r>
    </w:p>
    <w:p w14:paraId="09000000">
      <w:pPr>
        <w:widowControl w:val="1"/>
        <w:spacing w:after="0" w:before="0"/>
        <w:ind w:firstLine="56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br/>
      </w:r>
    </w:p>
    <w:p w14:paraId="0A000000">
      <w:pPr>
        <w:widowControl w:val="1"/>
        <w:ind w:firstLine="567" w:left="0"/>
        <w:rPr>
          <w:rFonts w:ascii="Times New Roman" w:hAnsi="Times New Roman"/>
          <w:sz w:val="28"/>
        </w:rPr>
      </w:pPr>
    </w:p>
    <w:p w14:paraId="0B000000">
      <w:pPr>
        <w:widowControl w:val="1"/>
        <w:ind w:firstLine="567" w:left="0"/>
        <w:rPr>
          <w:rFonts w:ascii="sans-serif" w:hAnsi="sans-serif"/>
          <w:i w:val="0"/>
          <w:caps w:val="0"/>
          <w:spacing w:val="0"/>
          <w:sz w:val="21"/>
          <w:highlight w:val="white"/>
        </w:rPr>
      </w:pPr>
    </w:p>
    <w:p w14:paraId="0C000000">
      <w:pPr>
        <w:widowControl w:val="1"/>
        <w:numPr>
          <w:ilvl w:val="0"/>
          <w:numId w:val="0"/>
        </w:numPr>
        <w:ind w:firstLine="567" w:left="0"/>
      </w:pPr>
    </w:p>
    <w:p w14:paraId="0D000000">
      <w:pPr>
        <w:widowControl w:val="1"/>
        <w:numPr>
          <w:ilvl w:val="0"/>
          <w:numId w:val="0"/>
        </w:numPr>
        <w:ind w:firstLine="567" w:left="0"/>
      </w:pPr>
    </w:p>
    <w:p w14:paraId="0E000000">
      <w:pPr>
        <w:widowControl w:val="1"/>
        <w:numPr>
          <w:ilvl w:val="0"/>
          <w:numId w:val="0"/>
        </w:numPr>
        <w:ind w:firstLine="567" w:left="0"/>
      </w:pPr>
    </w:p>
    <w:p w14:paraId="0F000000">
      <w:pPr>
        <w:widowControl w:val="1"/>
        <w:numPr>
          <w:ilvl w:val="0"/>
          <w:numId w:val="0"/>
        </w:numPr>
        <w:ind w:firstLine="567" w:left="0"/>
      </w:pPr>
    </w:p>
    <w:p w14:paraId="10000000">
      <w:pPr>
        <w:widowControl w:val="1"/>
        <w:numPr>
          <w:ilvl w:val="0"/>
          <w:numId w:val="0"/>
        </w:numPr>
        <w:ind w:firstLine="567" w:left="0"/>
      </w:pPr>
      <w:bookmarkStart w:id="1" w:name="_GoBack"/>
      <w:bookmarkEnd w:id="1"/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Theme="minorAscii" w:hAnsiTheme="minorHAnsi"/>
    </w:rPr>
  </w:style>
  <w:style w:default="1" w:styleId="Style_1_ch" w:type="character">
    <w:name w:val="Normal"/>
    <w:link w:val="Style_1"/>
    <w:rPr>
      <w:rFonts w:asciiTheme="minorAscii" w:hAnsiTheme="minorHAns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val="0000FF"/>
      <w:u w:val="single"/>
    </w:rPr>
  </w:style>
  <w:style w:styleId="Style_11_ch" w:type="character">
    <w:name w:val="Hyperlink"/>
    <w:basedOn w:val="Style_12_ch"/>
    <w:link w:val="Style_11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2026-04-15T12:53:50Z</dcterms:modified>
</cp:coreProperties>
</file>