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Письмом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Минстроя России от 08.12.2025 N 34614-ОГ/00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«По вопросу индексации размера платы за содержание жилого помещения» д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аны разъяснения по вопросу индексации размера платы за содержание жилого помещения. </w:t>
      </w:r>
    </w:p>
    <w:p w14:paraId="02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Сообщается, что в случае проведения органом местного самоуправления открытого конкурса по отбору управляющей организации для управления многоквартирным домом, по результатам которого с отобранной управляющей организацией заключен договор управления многоквартирным домом, условия которого предусматривают индексацию размера платы за содержание жилого помещения, индексация может производиться с учетом индекса потребительских цен.</w:t>
      </w:r>
    </w:p>
    <w:p w14:paraId="03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4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Прокуратура Татышлинского района.</w:t>
      </w:r>
    </w:p>
    <w:p w14:paraId="05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</w:p>
    <w:p w14:paraId="06000000">
      <w:pPr>
        <w:widowControl w:val="1"/>
        <w:ind w:firstLine="567" w:left="0"/>
        <w:rPr>
          <w:rFonts w:ascii="Times New Roman" w:hAnsi="Times New Roman"/>
          <w:sz w:val="28"/>
        </w:rPr>
      </w:pPr>
    </w:p>
    <w:p w14:paraId="07000000">
      <w:pPr>
        <w:widowControl w:val="1"/>
        <w:ind w:firstLine="567" w:left="0"/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8000000">
      <w:pPr>
        <w:widowControl w:val="1"/>
        <w:numPr>
          <w:ilvl w:val="0"/>
          <w:numId w:val="0"/>
        </w:numPr>
        <w:ind w:firstLine="567" w:left="0"/>
      </w:pPr>
    </w:p>
    <w:p w14:paraId="09000000">
      <w:pPr>
        <w:widowControl w:val="1"/>
        <w:numPr>
          <w:ilvl w:val="0"/>
          <w:numId w:val="0"/>
        </w:numPr>
        <w:ind w:firstLine="567" w:left="0"/>
      </w:pPr>
    </w:p>
    <w:p w14:paraId="0A000000">
      <w:pPr>
        <w:widowControl w:val="1"/>
        <w:numPr>
          <w:ilvl w:val="0"/>
          <w:numId w:val="0"/>
        </w:numPr>
        <w:ind w:firstLine="567" w:left="0"/>
      </w:pPr>
    </w:p>
    <w:p w14:paraId="0B000000">
      <w:pPr>
        <w:widowControl w:val="1"/>
        <w:numPr>
          <w:ilvl w:val="0"/>
          <w:numId w:val="0"/>
        </w:numPr>
        <w:ind w:firstLine="567" w:left="0"/>
      </w:pPr>
    </w:p>
    <w:p w14:paraId="0C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2026-04-15T12:45:53Z</dcterms:modified>
</cp:coreProperties>
</file>