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spacing w:after="0" w:before="0"/>
        <w:ind w:firstLine="567" w:left="0" w:right="0"/>
        <w:jc w:val="both"/>
        <w:rPr>
          <w:rFonts w:ascii="Times New Roman" w:hAnsi="Times New Roman"/>
          <w:b w:val="0"/>
          <w:i w:val="0"/>
          <w:color w:val="000000"/>
          <w:sz w:val="28"/>
          <w:u w:val="none"/>
        </w:rPr>
      </w:pPr>
      <w:r>
        <w:rPr>
          <w:rFonts w:ascii="Times New Roman" w:hAnsi="Times New Roman"/>
          <w:b w:val="0"/>
          <w:i w:val="0"/>
          <w:strike w:val="0"/>
          <w:color w:val="000000"/>
          <w:sz w:val="28"/>
          <w:u w:color="000000" w:val="none"/>
        </w:rPr>
        <w:t>Постановлением</w:t>
      </w:r>
      <w:r>
        <w:rPr>
          <w:rFonts w:ascii="Times New Roman" w:hAnsi="Times New Roman"/>
          <w:b w:val="0"/>
          <w:i w:val="0"/>
          <w:color w:val="000000"/>
          <w:sz w:val="28"/>
          <w:u w:val="none"/>
        </w:rPr>
        <w:t xml:space="preserve"> </w:t>
      </w:r>
      <w:r>
        <w:rPr>
          <w:rFonts w:ascii="Times New Roman" w:hAnsi="Times New Roman"/>
          <w:b w:val="0"/>
          <w:i w:val="0"/>
          <w:color w:val="000000"/>
          <w:sz w:val="28"/>
          <w:u w:val="none"/>
        </w:rPr>
        <w:t xml:space="preserve">Конституционного Суда РФ от 26.12.2025 N 51-П </w:t>
      </w:r>
      <w:r>
        <w:rPr>
          <w:rFonts w:ascii="Times New Roman" w:hAnsi="Times New Roman"/>
          <w:b w:val="0"/>
          <w:i w:val="0"/>
          <w:color w:val="000000"/>
          <w:sz w:val="28"/>
          <w:u w:val="none"/>
        </w:rPr>
        <w:t>"По делу о проверке конституционности статьи 10, частей 1, 2, 4 - 6 статьи 11, части 4.1 статьи 12.1 и пункта 1 части 1 статьи 13.1 Федерального закона "О противодействии коррупции", части 10 статьи 29 Федерального закона "Об общих принципах организации местного самоуправления в единой системе публичной власти", а также части 1 статьи 34, статьи 35 и части 7.1 статьи 40 Федерального закона "Об общих принципах организации местного самоуправления в Российской Федерации" в связи с запросом Законодательного Собрания Челябинской области"</w:t>
      </w:r>
      <w:r>
        <w:rPr>
          <w:rFonts w:ascii="Times New Roman" w:hAnsi="Times New Roman"/>
          <w:b w:val="0"/>
          <w:i w:val="0"/>
          <w:color w:val="000000"/>
          <w:sz w:val="28"/>
          <w:u w:val="none"/>
        </w:rPr>
        <w:t xml:space="preserve"> было разъяснено, что досрочное прекращение полномочий депутата представительного органа муниципального образования в связи с несоблюдением им требований по предотвращению или урегулированию конфликта интересов является лишь одной из возможных мер его ответственности за соответствующее нарушение, которое с учетом его значения в системе соответствующих мер подлежит применению только в случае существенного конфликта интересов, в том числе дискредитирующего деятельность органов публичной власти, или совершения данного нарушения в совокупности с иными деяниями коррупционной направленности </w:t>
      </w:r>
    </w:p>
    <w:p w14:paraId="02000000">
      <w:pPr>
        <w:spacing w:after="0" w:before="0"/>
        <w:ind w:firstLine="567" w:left="0" w:right="0"/>
        <w:jc w:val="both"/>
        <w:rPr>
          <w:rFonts w:ascii="Times New Roman" w:hAnsi="Times New Roman"/>
          <w:b w:val="0"/>
          <w:i w:val="0"/>
          <w:color w:val="000000"/>
          <w:sz w:val="28"/>
          <w:u w:val="none"/>
        </w:rPr>
      </w:pPr>
      <w:r>
        <w:rPr>
          <w:rFonts w:ascii="Times New Roman" w:hAnsi="Times New Roman"/>
          <w:b w:val="0"/>
          <w:i w:val="0"/>
          <w:color w:val="000000"/>
          <w:sz w:val="28"/>
          <w:u w:val="none"/>
        </w:rPr>
        <w:t xml:space="preserve">Непротиворечащими Конституции РФ признаны </w:t>
      </w:r>
      <w:r>
        <w:rPr>
          <w:rFonts w:ascii="Times New Roman" w:hAnsi="Times New Roman"/>
          <w:b w:val="0"/>
          <w:i w:val="0"/>
          <w:color w:val="000000"/>
          <w:sz w:val="28"/>
          <w:u w:val="none"/>
        </w:rPr>
        <w:t>взаимосвязанные статья 10, части 1, 2, 4 - 6 статьи 11, часть 4.1 статьи 12.1 и пункт 1 части 1 статьи 13.1 Федерального закона "О противодействии коррупции", часть 10 статьи 29 Федерального закона "Об общих принципах организации местного самоуправления в единой системе публичной власти", а также часть 1 статьи 34, статья 35 и часть 7.1 статьи 40 Федерального закона "Об общих принципах организации местного самоуправления в Российской Федерации", поскольку по своему конституционно-правовому смыслу в системе действующего правового регулирования они не исключают депутата представительного органа, в том числе осуществляющего полномочия на непостоянной основе, из числа лиц, замещающих публично значимые должности, к которым применяются негативные последствия несоблюдения ими требований по предотвращению или урегулированию конфликта интересов, при следующих условиях:</w:t>
      </w:r>
    </w:p>
    <w:p w14:paraId="03000000">
      <w:pPr>
        <w:spacing w:after="0" w:before="168"/>
        <w:ind w:firstLine="567" w:left="0" w:right="0"/>
        <w:jc w:val="both"/>
        <w:rPr>
          <w:rFonts w:ascii="Times New Roman" w:hAnsi="Times New Roman"/>
          <w:b w:val="0"/>
          <w:i w:val="0"/>
          <w:color w:val="000000"/>
          <w:sz w:val="28"/>
          <w:u w:val="none"/>
        </w:rPr>
      </w:pPr>
      <w:r>
        <w:rPr>
          <w:rFonts w:ascii="Times New Roman" w:hAnsi="Times New Roman"/>
          <w:b w:val="0"/>
          <w:i w:val="0"/>
          <w:color w:val="000000"/>
          <w:sz w:val="28"/>
          <w:u w:val="none"/>
        </w:rPr>
        <w:t>не могут сами по себе - вопреки имевшей место судебной практике - расцениваться в качестве исключающих наличие конфликта интересов такие обстоятельства, как осуществление полномочий депутата представительного органа на непостоянной основе, отсутствие у депутата права единолично принимать решения и (или) давать поручения другим депутатам, отсутствие у депутата руководящей должности в представительном органе, инициирование решения, в связи с принятием которого определяется конфликт интересов, другим лицом, неопределяющее значение голоса конкретного депутата при голосовании;</w:t>
      </w:r>
    </w:p>
    <w:p w14:paraId="04000000">
      <w:pPr>
        <w:spacing w:after="0" w:before="168"/>
        <w:ind w:firstLine="567" w:left="0" w:right="0"/>
        <w:jc w:val="both"/>
        <w:rPr>
          <w:rFonts w:ascii="Times New Roman" w:hAnsi="Times New Roman"/>
          <w:b w:val="0"/>
          <w:i w:val="0"/>
          <w:color w:val="000000"/>
          <w:sz w:val="28"/>
          <w:u w:val="none"/>
        </w:rPr>
      </w:pPr>
      <w:r>
        <w:rPr>
          <w:rFonts w:ascii="Times New Roman" w:hAnsi="Times New Roman"/>
          <w:b w:val="0"/>
          <w:i w:val="0"/>
          <w:color w:val="000000"/>
          <w:sz w:val="28"/>
          <w:u w:val="none"/>
        </w:rPr>
        <w:t>под личной заинтересованностью депутата представительного органа при исполнении должностных обязанностей, которая приводит или может привести к конфликту интересов, не должно пониматься получение (возможность получения) в результате принятого представительным органом решения доходов, преимуществ или выгод индивидуально (персонифицированно) неопределенной группой (категорией) лиц, к которой относится сам депутат, либо состоящее с ним в близком родстве или свойстве лицо, либо аффилированные с ними лица (гражданин или организация, с которыми депутат представительного органа и (или) состоящее с ним в близком родстве или свойстве лицо связаны имущественными, корпоративными или иными отношениями), за исключением случая, если единственным либо явно преобладающим фактическим выгодоприобретателем от этого решения (в смысле получения личной прямой выгоды) является данный депутат или одно из указанных лиц либо круг таких выгодоприобретателей ограничен принимаемым решением;</w:t>
      </w:r>
    </w:p>
    <w:p w14:paraId="05000000">
      <w:pPr>
        <w:spacing w:after="0" w:before="168"/>
        <w:ind w:firstLine="567" w:left="0" w:right="0"/>
        <w:jc w:val="both"/>
        <w:rPr>
          <w:rFonts w:ascii="Times New Roman" w:hAnsi="Times New Roman"/>
          <w:b w:val="0"/>
          <w:i w:val="0"/>
          <w:color w:val="000000"/>
          <w:sz w:val="28"/>
          <w:u w:val="none"/>
        </w:rPr>
      </w:pPr>
      <w:r>
        <w:rPr>
          <w:rFonts w:ascii="Times New Roman" w:hAnsi="Times New Roman"/>
          <w:b w:val="0"/>
          <w:i w:val="0"/>
          <w:color w:val="000000"/>
          <w:sz w:val="28"/>
          <w:u w:val="none"/>
        </w:rPr>
        <w:t>вывод о наличии у депутата представительного органа конфликта интересов может быть сделан на основе полной и объективной оценки всей совокупности фактических обстоятельств, свидетельствующих как о наличии у него личной заинтересованности, так и о том, что она реализовывалась (могла быть реализована) с использованием возможностей депутата, обусловленных прямо или косвенно его статусом и должностью в представительном органе и (или) фактическим влиянием на других депутатов (деятельность представительного органа в целом, в том числе деятельность муниципальных служащих и работников, обеспечивающих его функционирование);</w:t>
      </w:r>
    </w:p>
    <w:p w14:paraId="06000000">
      <w:pPr>
        <w:spacing w:after="0" w:before="168"/>
        <w:ind w:firstLine="567" w:left="0" w:right="0"/>
        <w:jc w:val="both"/>
        <w:rPr>
          <w:rFonts w:ascii="Times New Roman" w:hAnsi="Times New Roman"/>
          <w:b w:val="0"/>
          <w:i w:val="0"/>
          <w:color w:val="000000"/>
          <w:sz w:val="28"/>
          <w:u w:val="none"/>
        </w:rPr>
      </w:pPr>
      <w:r>
        <w:rPr>
          <w:rFonts w:ascii="Times New Roman" w:hAnsi="Times New Roman"/>
          <w:b w:val="0"/>
          <w:i w:val="0"/>
          <w:color w:val="000000"/>
          <w:sz w:val="28"/>
          <w:u w:val="none"/>
        </w:rPr>
        <w:t>выступление депутата представительного органа, информирующее участников предстоящего принятия коллегиального решения о наличии конфликта интересов, с последующим самоустранением от голосования и любых других действий, связанных с принятием этого решения, может являться достаточным для предотвращения или урегулирования конфликта интересов, за исключением случая, указанного в следующем абзаце;</w:t>
      </w:r>
    </w:p>
    <w:p w14:paraId="07000000">
      <w:pPr>
        <w:spacing w:after="0" w:before="168"/>
        <w:ind w:firstLine="567" w:left="0" w:right="0"/>
        <w:jc w:val="both"/>
        <w:rPr>
          <w:rFonts w:ascii="Times New Roman" w:hAnsi="Times New Roman"/>
          <w:b w:val="0"/>
          <w:i w:val="0"/>
          <w:color w:val="000000"/>
          <w:sz w:val="28"/>
          <w:u w:val="none"/>
        </w:rPr>
      </w:pPr>
      <w:r>
        <w:rPr>
          <w:rFonts w:ascii="Times New Roman" w:hAnsi="Times New Roman"/>
          <w:b w:val="0"/>
          <w:i w:val="0"/>
          <w:color w:val="000000"/>
          <w:sz w:val="28"/>
          <w:u w:val="none"/>
        </w:rPr>
        <w:t>из оценки наличия конфликта интересов, который не был предотвращен или урегулирован путем подачи уведомления и определения и реализации на его основании мер по предотвращению и урегулированию конфликта интересов, не должны исключаться действия депутата представительного органа, направленные на поддержку принятия соответствующего решения, в том числе не связанные непосредственно с процедурой голосования, совершенные с использованием имеющихся у него возможностей для оказания фактического влияния на принимаемые представительным органом решения.</w:t>
      </w:r>
    </w:p>
    <w:p w14:paraId="08000000">
      <w:pPr>
        <w:spacing w:after="0" w:before="168"/>
        <w:ind w:firstLine="567" w:left="0" w:right="0"/>
        <w:jc w:val="both"/>
        <w:rPr>
          <w:rFonts w:ascii="Times New Roman" w:hAnsi="Times New Roman"/>
          <w:b w:val="0"/>
          <w:i w:val="0"/>
          <w:color w:val="000000"/>
          <w:sz w:val="28"/>
          <w:u w:val="none"/>
        </w:rPr>
      </w:pPr>
    </w:p>
    <w:p w14:paraId="09000000">
      <w:pPr>
        <w:widowControl w:val="1"/>
        <w:spacing w:after="0" w:before="0"/>
        <w:ind w:firstLine="567" w:left="0" w:right="0"/>
        <w:jc w:val="both"/>
        <w:rPr>
          <w:rFonts w:ascii="Times New Roman" w:hAnsi="Times New Roman"/>
          <w:b w:val="0"/>
          <w:i w:val="0"/>
          <w:color w:val="000000"/>
          <w:sz w:val="28"/>
          <w:u w:val="none"/>
        </w:rPr>
      </w:pPr>
      <w:r>
        <w:rPr>
          <w:rFonts w:ascii="Times New Roman" w:hAnsi="Times New Roman"/>
          <w:b w:val="0"/>
          <w:i w:val="0"/>
          <w:color w:val="000000"/>
          <w:sz w:val="28"/>
          <w:u w:val="none"/>
        </w:rPr>
        <w:t>Прокуратура Татышлинского района.</w:t>
      </w:r>
    </w:p>
    <w:p w14:paraId="0A000000">
      <w:pPr>
        <w:widowControl w:val="1"/>
        <w:spacing w:after="0" w:before="0"/>
        <w:ind w:firstLine="567" w:left="0" w:right="0"/>
        <w:jc w:val="both"/>
        <w:rPr>
          <w:rFonts w:ascii="Times New Roman" w:hAnsi="Times New Roman"/>
          <w:b w:val="0"/>
          <w:i w:val="0"/>
          <w:color w:val="000000"/>
          <w:sz w:val="28"/>
          <w:u w:val="none"/>
        </w:rPr>
      </w:pPr>
      <w:r>
        <w:rPr>
          <w:rFonts w:ascii="Times New Roman" w:hAnsi="Times New Roman"/>
          <w:b w:val="0"/>
          <w:i w:val="0"/>
          <w:color w:val="000000"/>
          <w:sz w:val="28"/>
          <w:u w:val="none"/>
        </w:rPr>
        <w:br/>
      </w:r>
    </w:p>
    <w:p w14:paraId="0B000000">
      <w:pPr>
        <w:widowControl w:val="1"/>
        <w:ind w:firstLine="567" w:left="0"/>
        <w:rPr>
          <w:rFonts w:ascii="Times New Roman" w:hAnsi="Times New Roman"/>
          <w:b w:val="0"/>
          <w:i w:val="0"/>
          <w:color w:val="000000"/>
          <w:sz w:val="28"/>
          <w:u w:val="none"/>
        </w:rPr>
      </w:pPr>
    </w:p>
    <w:p w14:paraId="0C000000">
      <w:pPr>
        <w:widowControl w:val="1"/>
        <w:ind w:firstLine="567" w:left="0"/>
        <w:rPr>
          <w:rFonts w:ascii="Times New Roman" w:hAnsi="Times New Roman"/>
          <w:b w:val="0"/>
          <w:i w:val="0"/>
          <w:caps w:val="0"/>
          <w:color w:val="000000"/>
          <w:spacing w:val="0"/>
          <w:sz w:val="28"/>
          <w:highlight w:val="white"/>
          <w:u w:val="none"/>
        </w:rPr>
      </w:pPr>
    </w:p>
    <w:p w14:paraId="0D000000">
      <w:pPr>
        <w:widowControl w:val="1"/>
        <w:numPr>
          <w:ilvl w:val="0"/>
          <w:numId w:val="0"/>
        </w:numPr>
        <w:ind w:firstLine="567" w:left="0"/>
        <w:rPr>
          <w:rFonts w:ascii="Times New Roman" w:hAnsi="Times New Roman"/>
          <w:b w:val="0"/>
          <w:i w:val="0"/>
          <w:color w:val="000000"/>
          <w:sz w:val="28"/>
          <w:u w:val="none"/>
        </w:rPr>
      </w:pPr>
    </w:p>
    <w:p w14:paraId="0E000000">
      <w:pPr>
        <w:widowControl w:val="1"/>
        <w:numPr>
          <w:ilvl w:val="0"/>
          <w:numId w:val="0"/>
        </w:numPr>
        <w:ind w:firstLine="567" w:left="0"/>
        <w:rPr>
          <w:rFonts w:ascii="Times New Roman" w:hAnsi="Times New Roman"/>
          <w:b w:val="0"/>
          <w:i w:val="0"/>
          <w:color w:val="000000"/>
          <w:sz w:val="28"/>
          <w:u w:val="none"/>
        </w:rPr>
      </w:pPr>
    </w:p>
    <w:p w14:paraId="0F000000">
      <w:pPr>
        <w:widowControl w:val="1"/>
        <w:numPr>
          <w:ilvl w:val="0"/>
          <w:numId w:val="0"/>
        </w:numPr>
        <w:ind w:firstLine="567" w:left="0"/>
      </w:pPr>
    </w:p>
    <w:p w14:paraId="10000000">
      <w:pPr>
        <w:widowControl w:val="1"/>
        <w:numPr>
          <w:ilvl w:val="0"/>
          <w:numId w:val="0"/>
        </w:numPr>
        <w:ind w:firstLine="567" w:left="0"/>
      </w:pPr>
    </w:p>
    <w:p w14:paraId="11000000">
      <w:pPr>
        <w:widowControl w:val="1"/>
        <w:numPr>
          <w:ilvl w:val="0"/>
          <w:numId w:val="0"/>
        </w:numPr>
        <w:ind w:firstLine="567" w:left="0"/>
      </w:pPr>
      <w:bookmarkStart w:id="1" w:name="_GoBack"/>
      <w:bookmarkEnd w:id="1"/>
    </w:p>
    <w:sectPr>
      <w:pgSz w:h="16838" w:orient="portrait" w:w="11906"/>
      <w:pgMar w:bottom="1440" w:footer="720" w:gutter="0" w:header="720" w:left="1800" w:right="1800" w:top="144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rPr>
      <w:rFonts w:asciiTheme="minorAscii" w:hAnsiTheme="minorHAnsi"/>
    </w:rPr>
  </w:style>
  <w:style w:default="1" w:styleId="Style_1_ch" w:type="character">
    <w:name w:val="Normal"/>
    <w:link w:val="Style_1"/>
    <w:rPr>
      <w:rFonts w:asciiTheme="minorAscii" w:hAnsiTheme="minorHAnsi"/>
    </w:rPr>
  </w:style>
  <w:style w:styleId="Style_2" w:type="paragraph">
    <w:name w:val="toc 2"/>
    <w:next w:val="Style_1"/>
    <w:link w:val="Style_2_ch"/>
    <w:uiPriority w:val="39"/>
    <w:pPr>
      <w:widowControl w:val="1"/>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widowControl w:val="1"/>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widowControl w:val="1"/>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widowControl w:val="1"/>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widowControl w:val="1"/>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widowControl w:val="1"/>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widowControl w:val="1"/>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widowControl w:val="1"/>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1"/>
    <w:link w:val="Style_10_ch"/>
    <w:uiPriority w:val="9"/>
    <w:qFormat/>
    <w:pPr>
      <w:widowControl w:val="1"/>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11" w:type="paragraph">
    <w:name w:val="Hyperlink"/>
    <w:basedOn w:val="Style_12"/>
    <w:link w:val="Style_11_ch"/>
    <w:rPr>
      <w:color w:val="0000FF"/>
      <w:u w:val="single"/>
    </w:rPr>
  </w:style>
  <w:style w:styleId="Style_11_ch" w:type="character">
    <w:name w:val="Hyperlink"/>
    <w:basedOn w:val="Style_12_ch"/>
    <w:link w:val="Style_11"/>
    <w:rPr>
      <w:color w:val="0000FF"/>
      <w:u w:val="single"/>
    </w:rPr>
  </w:style>
  <w:style w:styleId="Style_13" w:type="paragraph">
    <w:name w:val="Footnote"/>
    <w:link w:val="Style_13_ch"/>
    <w:pPr>
      <w:widowControl w:val="1"/>
      <w:ind w:firstLine="851" w:left="0"/>
      <w:jc w:val="both"/>
    </w:pPr>
    <w:rPr>
      <w:rFonts w:ascii="XO Thames" w:hAnsi="XO Thames"/>
      <w:sz w:val="22"/>
    </w:rPr>
  </w:style>
  <w:style w:styleId="Style_13_ch" w:type="character">
    <w:name w:val="Footnote"/>
    <w:link w:val="Style_13"/>
    <w:rPr>
      <w:rFonts w:ascii="XO Thames" w:hAnsi="XO Thames"/>
      <w:sz w:val="22"/>
    </w:rPr>
  </w:style>
  <w:style w:styleId="Style_14" w:type="paragraph">
    <w:name w:val="toc 1"/>
    <w:next w:val="Style_1"/>
    <w:link w:val="Style_14_ch"/>
    <w:uiPriority w:val="39"/>
    <w:pPr>
      <w:widowControl w:val="1"/>
      <w:ind w:firstLine="0" w:left="0"/>
      <w:jc w:val="left"/>
    </w:pPr>
    <w:rPr>
      <w:rFonts w:ascii="XO Thames" w:hAnsi="XO Thames"/>
      <w:b w:val="1"/>
      <w:sz w:val="28"/>
    </w:rPr>
  </w:style>
  <w:style w:styleId="Style_14_ch" w:type="character">
    <w:name w:val="toc 1"/>
    <w:link w:val="Style_14"/>
    <w:rPr>
      <w:rFonts w:ascii="XO Thames" w:hAnsi="XO Thames"/>
      <w:b w:val="1"/>
      <w:sz w:val="28"/>
    </w:rPr>
  </w:style>
  <w:style w:styleId="Style_15" w:type="paragraph">
    <w:name w:val="Header and Footer"/>
    <w:link w:val="Style_15_ch"/>
    <w:pPr>
      <w:widowControl w:val="1"/>
      <w:spacing w:line="240" w:lineRule="auto"/>
      <w:ind/>
      <w:jc w:val="both"/>
    </w:pPr>
    <w:rPr>
      <w:rFonts w:ascii="XO Thames" w:hAnsi="XO Thames"/>
      <w:sz w:val="28"/>
    </w:rPr>
  </w:style>
  <w:style w:styleId="Style_15_ch" w:type="character">
    <w:name w:val="Header and Footer"/>
    <w:link w:val="Style_15"/>
    <w:rPr>
      <w:rFonts w:ascii="XO Thames" w:hAnsi="XO Thames"/>
      <w:sz w:val="28"/>
    </w:rPr>
  </w:style>
  <w:style w:styleId="Style_16" w:type="paragraph">
    <w:name w:val="toc 9"/>
    <w:next w:val="Style_1"/>
    <w:link w:val="Style_16_ch"/>
    <w:uiPriority w:val="39"/>
    <w:pPr>
      <w:widowControl w:val="1"/>
      <w:ind w:firstLine="0" w:left="1600"/>
      <w:jc w:val="left"/>
    </w:pPr>
    <w:rPr>
      <w:rFonts w:ascii="XO Thames" w:hAnsi="XO Thames"/>
      <w:sz w:val="28"/>
    </w:rPr>
  </w:style>
  <w:style w:styleId="Style_16_ch" w:type="character">
    <w:name w:val="toc 9"/>
    <w:link w:val="Style_16"/>
    <w:rPr>
      <w:rFonts w:ascii="XO Thames" w:hAnsi="XO Thames"/>
      <w:sz w:val="28"/>
    </w:rPr>
  </w:style>
  <w:style w:styleId="Style_17" w:type="paragraph">
    <w:name w:val="toc 8"/>
    <w:next w:val="Style_1"/>
    <w:link w:val="Style_17_ch"/>
    <w:uiPriority w:val="39"/>
    <w:pPr>
      <w:widowControl w:val="1"/>
      <w:ind w:firstLine="0" w:left="1400"/>
      <w:jc w:val="left"/>
    </w:pPr>
    <w:rPr>
      <w:rFonts w:ascii="XO Thames" w:hAnsi="XO Thames"/>
      <w:sz w:val="28"/>
    </w:rPr>
  </w:style>
  <w:style w:styleId="Style_17_ch" w:type="character">
    <w:name w:val="toc 8"/>
    <w:link w:val="Style_17"/>
    <w:rPr>
      <w:rFonts w:ascii="XO Thames" w:hAnsi="XO Thames"/>
      <w:sz w:val="28"/>
    </w:rPr>
  </w:style>
  <w:style w:styleId="Style_18" w:type="paragraph">
    <w:name w:val="toc 5"/>
    <w:next w:val="Style_1"/>
    <w:link w:val="Style_18_ch"/>
    <w:uiPriority w:val="39"/>
    <w:pPr>
      <w:widowControl w:val="1"/>
      <w:ind w:firstLine="0" w:left="800"/>
      <w:jc w:val="left"/>
    </w:pPr>
    <w:rPr>
      <w:rFonts w:ascii="XO Thames" w:hAnsi="XO Thames"/>
      <w:sz w:val="28"/>
    </w:rPr>
  </w:style>
  <w:style w:styleId="Style_18_ch" w:type="character">
    <w:name w:val="toc 5"/>
    <w:link w:val="Style_18"/>
    <w:rPr>
      <w:rFonts w:ascii="XO Thames" w:hAnsi="XO Thames"/>
      <w:sz w:val="28"/>
    </w:rPr>
  </w:style>
  <w:style w:styleId="Style_19" w:type="paragraph">
    <w:name w:val="Subtitle"/>
    <w:next w:val="Style_1"/>
    <w:link w:val="Style_19_ch"/>
    <w:uiPriority w:val="11"/>
    <w:qFormat/>
    <w:pPr>
      <w:widowControl w:val="1"/>
      <w:ind/>
      <w:jc w:val="both"/>
    </w:pPr>
    <w:rPr>
      <w:rFonts w:ascii="XO Thames" w:hAnsi="XO Thames"/>
      <w:i w:val="1"/>
      <w:sz w:val="24"/>
    </w:rPr>
  </w:style>
  <w:style w:styleId="Style_19_ch" w:type="character">
    <w:name w:val="Subtitle"/>
    <w:link w:val="Style_19"/>
    <w:rPr>
      <w:rFonts w:ascii="XO Thames" w:hAnsi="XO Thames"/>
      <w:i w:val="1"/>
      <w:sz w:val="24"/>
    </w:rPr>
  </w:style>
  <w:style w:styleId="Style_20" w:type="paragraph">
    <w:name w:val="Title"/>
    <w:next w:val="Style_1"/>
    <w:link w:val="Style_20_ch"/>
    <w:uiPriority w:val="10"/>
    <w:qFormat/>
    <w:pPr>
      <w:widowControl w:val="1"/>
      <w:spacing w:after="567" w:before="567"/>
      <w:ind/>
      <w:jc w:val="center"/>
    </w:pPr>
    <w:rPr>
      <w:rFonts w:ascii="XO Thames" w:hAnsi="XO Thames"/>
      <w:b w:val="1"/>
      <w:caps w:val="1"/>
      <w:sz w:val="40"/>
    </w:rPr>
  </w:style>
  <w:style w:styleId="Style_20_ch" w:type="character">
    <w:name w:val="Title"/>
    <w:link w:val="Style_20"/>
    <w:rPr>
      <w:rFonts w:ascii="XO Thames" w:hAnsi="XO Thames"/>
      <w:b w:val="1"/>
      <w:caps w:val="1"/>
      <w:sz w:val="40"/>
    </w:rPr>
  </w:style>
  <w:style w:styleId="Style_21" w:type="paragraph">
    <w:name w:val="heading 4"/>
    <w:next w:val="Style_1"/>
    <w:link w:val="Style_21_ch"/>
    <w:uiPriority w:val="9"/>
    <w:qFormat/>
    <w:pPr>
      <w:widowControl w:val="1"/>
      <w:spacing w:after="120" w:before="120"/>
      <w:ind/>
      <w:jc w:val="both"/>
      <w:outlineLvl w:val="3"/>
    </w:pPr>
    <w:rPr>
      <w:rFonts w:ascii="XO Thames" w:hAnsi="XO Thames"/>
      <w:b w:val="1"/>
      <w:sz w:val="24"/>
    </w:rPr>
  </w:style>
  <w:style w:styleId="Style_21_ch" w:type="character">
    <w:name w:val="heading 4"/>
    <w:link w:val="Style_21"/>
    <w:rPr>
      <w:rFonts w:ascii="XO Thames" w:hAnsi="XO Thames"/>
      <w:b w:val="1"/>
      <w:sz w:val="24"/>
    </w:rPr>
  </w:style>
  <w:style w:styleId="Style_22" w:type="paragraph">
    <w:name w:val="heading 2"/>
    <w:next w:val="Style_1"/>
    <w:link w:val="Style_22_ch"/>
    <w:uiPriority w:val="9"/>
    <w:qFormat/>
    <w:pPr>
      <w:widowControl w:val="1"/>
      <w:spacing w:after="120" w:before="120"/>
      <w:ind/>
      <w:jc w:val="both"/>
      <w:outlineLvl w:val="1"/>
    </w:pPr>
    <w:rPr>
      <w:rFonts w:ascii="XO Thames" w:hAnsi="XO Thames"/>
      <w:b w:val="1"/>
      <w:sz w:val="28"/>
    </w:rPr>
  </w:style>
  <w:style w:styleId="Style_22_ch" w:type="character">
    <w:name w:val="heading 2"/>
    <w:link w:val="Style_22"/>
    <w:rPr>
      <w:rFonts w:ascii="XO Thames" w:hAnsi="XO Thames"/>
      <w:b w:val="1"/>
      <w:sz w:val="28"/>
    </w:rPr>
  </w:style>
  <w:style w:styleId="Style_12" w:type="paragraph">
    <w:name w:val="Default Paragraph Font"/>
    <w:link w:val="Style_12_ch"/>
  </w:style>
  <w:style w:styleId="Style_12_ch" w:type="character">
    <w:name w:val="Default Paragraph Font"/>
    <w:link w:val="Style_12"/>
  </w:style>
  <w:style w:default="1" w:styleId="Style_23" w:type="table">
    <w:name w:val="Normal Table"/>
    <w:tblPr>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主题">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MyOffice-CoreFramework-Linux/31-1176.784.8785.803.1@b7d79ee91c0484ce8e5066dc862bfc403a32edb5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2026-04-15T12:59:49Z</dcterms:modified>
</cp:coreProperties>
</file>